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48" w:rsidRPr="003859E7" w:rsidRDefault="00C71FC1">
      <w:pPr>
        <w:rPr>
          <w:b/>
        </w:rPr>
      </w:pPr>
      <w:r w:rsidRPr="003859E7">
        <w:rPr>
          <w:b/>
        </w:rPr>
        <w:t>PATIENT DEMOGRAPHICS</w:t>
      </w:r>
    </w:p>
    <w:p w:rsidR="00280A48" w:rsidRDefault="00C71FC1" w:rsidP="00C71FC1">
      <w:r>
        <w:t>Pate Rehabilitation</w:t>
      </w:r>
      <w:r w:rsidR="002827B1" w:rsidRPr="002827B1">
        <w:rPr>
          <w:i/>
        </w:rPr>
        <w:t xml:space="preserve"> </w:t>
      </w:r>
      <w:r w:rsidR="002827B1" w:rsidRPr="00346E0C">
        <w:t>is dedicated to the treatment of individuals with acquired brain injuries, helping them return to the highest quality of life possible.</w:t>
      </w:r>
      <w:r w:rsidR="003859E7">
        <w:t xml:space="preserve">  Of the total patients </w:t>
      </w:r>
      <w:r w:rsidR="002827B1">
        <w:t xml:space="preserve">treated </w:t>
      </w:r>
      <w:r w:rsidR="002B1DEE">
        <w:t>at Pate</w:t>
      </w:r>
      <w:r w:rsidR="00705B79">
        <w:t xml:space="preserve"> </w:t>
      </w:r>
      <w:r w:rsidR="003859E7">
        <w:t>from 200</w:t>
      </w:r>
      <w:r w:rsidR="00AB16AB">
        <w:t>8</w:t>
      </w:r>
      <w:r w:rsidR="003859E7">
        <w:t xml:space="preserve"> through 201</w:t>
      </w:r>
      <w:r w:rsidR="00AB16AB">
        <w:t>2</w:t>
      </w:r>
      <w:r w:rsidR="00A35CA9">
        <w:t xml:space="preserve"> (n=1,708 patients)</w:t>
      </w:r>
      <w:r w:rsidR="003859E7">
        <w:t xml:space="preserve">, </w:t>
      </w:r>
      <w:r w:rsidR="00BF603C">
        <w:t>40</w:t>
      </w:r>
      <w:r w:rsidR="003859E7">
        <w:t>%</w:t>
      </w:r>
      <w:r w:rsidR="002827B1">
        <w:t xml:space="preserve"> had sustained</w:t>
      </w:r>
      <w:r>
        <w:t xml:space="preserve"> traumatic brain injuries (TBI), </w:t>
      </w:r>
      <w:r w:rsidR="00AB16AB">
        <w:t>38</w:t>
      </w:r>
      <w:r w:rsidR="003859E7">
        <w:t xml:space="preserve">% </w:t>
      </w:r>
      <w:r w:rsidR="002827B1">
        <w:t>were recovering from</w:t>
      </w:r>
      <w:r w:rsidR="003859E7">
        <w:t xml:space="preserve"> </w:t>
      </w:r>
      <w:r>
        <w:t xml:space="preserve">strokes (CVA) and </w:t>
      </w:r>
      <w:r w:rsidR="00AB16AB">
        <w:t>22</w:t>
      </w:r>
      <w:r w:rsidR="003859E7">
        <w:t xml:space="preserve">% </w:t>
      </w:r>
      <w:r w:rsidR="00BF603C">
        <w:t>had</w:t>
      </w:r>
      <w:r w:rsidR="003859E7">
        <w:t xml:space="preserve"> </w:t>
      </w:r>
      <w:r>
        <w:t>other diagnoses</w:t>
      </w:r>
      <w:r w:rsidR="007D29D2">
        <w:t xml:space="preserve"> (</w:t>
      </w:r>
      <w:r w:rsidR="002827B1">
        <w:t xml:space="preserve">including </w:t>
      </w:r>
      <w:r w:rsidR="003859E7">
        <w:t>aneurysm, anoxia, brain tumors and other diseases affecting the brain)</w:t>
      </w:r>
      <w:r>
        <w:t xml:space="preserve">.  </w:t>
      </w:r>
    </w:p>
    <w:p w:rsidR="003859E7" w:rsidRDefault="003859E7" w:rsidP="00C71FC1">
      <w:r>
        <w:t xml:space="preserve">The following graphs </w:t>
      </w:r>
      <w:r w:rsidR="002B1DEE">
        <w:t>show data for patients recovering from TBIs, CVAs and other diagnoses, who received treatment at Pate during the years 200</w:t>
      </w:r>
      <w:r w:rsidR="00AB16AB">
        <w:t>8</w:t>
      </w:r>
      <w:r w:rsidR="002B1DEE">
        <w:t xml:space="preserve"> through 201</w:t>
      </w:r>
      <w:r w:rsidR="00AB16AB">
        <w:t>2</w:t>
      </w:r>
      <w:r w:rsidR="002B1DEE">
        <w:t xml:space="preserve">. </w:t>
      </w:r>
    </w:p>
    <w:p w:rsidR="002B1DEE" w:rsidRPr="002B1DEE" w:rsidRDefault="002B1DEE" w:rsidP="00C71FC1">
      <w:pPr>
        <w:rPr>
          <w:b/>
        </w:rPr>
      </w:pPr>
      <w:r w:rsidRPr="002B1DEE">
        <w:rPr>
          <w:b/>
        </w:rPr>
        <w:t>Patient Demographics</w:t>
      </w:r>
    </w:p>
    <w:p w:rsidR="003859E7" w:rsidRDefault="00AB16AB" w:rsidP="00C71FC1">
      <w:r>
        <w:rPr>
          <w:noProof/>
        </w:rPr>
        <w:drawing>
          <wp:inline distT="0" distB="0" distL="0" distR="0" wp14:anchorId="214E1765" wp14:editId="10807F48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7B1" w:rsidRDefault="002827B1" w:rsidP="00C71FC1">
      <w:r>
        <w:t xml:space="preserve">The average age of individuals who received treatment at Pate </w:t>
      </w:r>
      <w:r w:rsidR="002B1DEE">
        <w:t xml:space="preserve">was </w:t>
      </w:r>
      <w:r>
        <w:t xml:space="preserve">46 years old.  </w:t>
      </w:r>
    </w:p>
    <w:p w:rsidR="00705B79" w:rsidRDefault="00705B79" w:rsidP="00C71FC1"/>
    <w:p w:rsidR="003859E7" w:rsidRDefault="00AB16AB" w:rsidP="00C71FC1">
      <w:r>
        <w:rPr>
          <w:noProof/>
        </w:rPr>
        <w:lastRenderedPageBreak/>
        <w:drawing>
          <wp:inline distT="0" distB="0" distL="0" distR="0" wp14:anchorId="1614E32C" wp14:editId="7022B94D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27B1" w:rsidRDefault="00365672" w:rsidP="00C71FC1">
      <w:r>
        <w:t>Sixty-seven percent</w:t>
      </w:r>
      <w:r w:rsidR="002B1DEE">
        <w:t xml:space="preserve"> of patients at Pate we</w:t>
      </w:r>
      <w:r w:rsidR="002827B1">
        <w:t>re</w:t>
      </w:r>
      <w:r w:rsidR="00705B79">
        <w:t xml:space="preserve"> </w:t>
      </w:r>
      <w:r w:rsidR="002827B1">
        <w:t>male and</w:t>
      </w:r>
      <w:r>
        <w:t xml:space="preserve"> thirty-three percent</w:t>
      </w:r>
      <w:r w:rsidR="00705B79">
        <w:t xml:space="preserve"> </w:t>
      </w:r>
      <w:r w:rsidR="002B1DEE">
        <w:t xml:space="preserve">were </w:t>
      </w:r>
      <w:r w:rsidR="002827B1">
        <w:t xml:space="preserve">female.  </w:t>
      </w:r>
    </w:p>
    <w:p w:rsidR="002827B1" w:rsidRDefault="007F6265" w:rsidP="00C71FC1">
      <w:r>
        <w:rPr>
          <w:noProof/>
        </w:rPr>
        <w:drawing>
          <wp:inline distT="0" distB="0" distL="0" distR="0" wp14:anchorId="00E26B5A" wp14:editId="042317B1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27B1" w:rsidRDefault="002827B1" w:rsidP="00C71FC1">
      <w:pPr>
        <w:rPr>
          <w:b/>
        </w:rPr>
      </w:pPr>
      <w:r>
        <w:t xml:space="preserve">On average, the breakdown of individuals receiving treatment at Pate </w:t>
      </w:r>
      <w:r w:rsidR="002B1DEE">
        <w:t xml:space="preserve">was: </w:t>
      </w:r>
      <w:r>
        <w:t>7</w:t>
      </w:r>
      <w:r w:rsidR="00377C83">
        <w:t>2</w:t>
      </w:r>
      <w:r>
        <w:t>% Caucasian, 9% Hispanic, 1</w:t>
      </w:r>
      <w:r w:rsidR="00377C83">
        <w:t>6</w:t>
      </w:r>
      <w:r>
        <w:t>% African American and 3% other races</w:t>
      </w:r>
      <w:r w:rsidR="00B04B8A">
        <w:t>/ethnicities</w:t>
      </w:r>
      <w:r>
        <w:t xml:space="preserve">.  </w:t>
      </w:r>
      <w:bookmarkStart w:id="0" w:name="_GoBack"/>
      <w:bookmarkEnd w:id="0"/>
    </w:p>
    <w:sectPr w:rsidR="002827B1" w:rsidSect="003C34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7B" w:rsidRDefault="004B4B7B" w:rsidP="00280A48">
      <w:pPr>
        <w:spacing w:after="0" w:line="240" w:lineRule="auto"/>
      </w:pPr>
      <w:r>
        <w:separator/>
      </w:r>
    </w:p>
  </w:endnote>
  <w:endnote w:type="continuationSeparator" w:id="0">
    <w:p w:rsidR="004B4B7B" w:rsidRDefault="004B4B7B" w:rsidP="0028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EE" w:rsidRDefault="002B1DEE">
    <w:pPr>
      <w:pStyle w:val="Footer"/>
    </w:pPr>
  </w:p>
  <w:p w:rsidR="002B1DEE" w:rsidRDefault="002B1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7B" w:rsidRDefault="004B4B7B" w:rsidP="00280A48">
      <w:pPr>
        <w:spacing w:after="0" w:line="240" w:lineRule="auto"/>
      </w:pPr>
      <w:r>
        <w:separator/>
      </w:r>
    </w:p>
  </w:footnote>
  <w:footnote w:type="continuationSeparator" w:id="0">
    <w:p w:rsidR="004B4B7B" w:rsidRDefault="004B4B7B" w:rsidP="00280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48"/>
    <w:rsid w:val="000161FD"/>
    <w:rsid w:val="00090B78"/>
    <w:rsid w:val="001916CC"/>
    <w:rsid w:val="001A204C"/>
    <w:rsid w:val="001F55B9"/>
    <w:rsid w:val="00244B38"/>
    <w:rsid w:val="00280A48"/>
    <w:rsid w:val="002827B1"/>
    <w:rsid w:val="002B1DEE"/>
    <w:rsid w:val="002C6926"/>
    <w:rsid w:val="002D66FC"/>
    <w:rsid w:val="00322E93"/>
    <w:rsid w:val="00346E0C"/>
    <w:rsid w:val="00365672"/>
    <w:rsid w:val="00367BC0"/>
    <w:rsid w:val="00377C83"/>
    <w:rsid w:val="003859E7"/>
    <w:rsid w:val="003C344C"/>
    <w:rsid w:val="00407A70"/>
    <w:rsid w:val="00447698"/>
    <w:rsid w:val="004A1887"/>
    <w:rsid w:val="004A4B97"/>
    <w:rsid w:val="004B4B7B"/>
    <w:rsid w:val="004D355D"/>
    <w:rsid w:val="004E721D"/>
    <w:rsid w:val="005106C7"/>
    <w:rsid w:val="00577C61"/>
    <w:rsid w:val="00671EC5"/>
    <w:rsid w:val="006A2842"/>
    <w:rsid w:val="006D426E"/>
    <w:rsid w:val="006F1A29"/>
    <w:rsid w:val="007019AD"/>
    <w:rsid w:val="00705B79"/>
    <w:rsid w:val="00707D36"/>
    <w:rsid w:val="00723CDF"/>
    <w:rsid w:val="007722FE"/>
    <w:rsid w:val="007D085A"/>
    <w:rsid w:val="007D29D2"/>
    <w:rsid w:val="007D3C60"/>
    <w:rsid w:val="007F6265"/>
    <w:rsid w:val="0088280C"/>
    <w:rsid w:val="008A42B2"/>
    <w:rsid w:val="008F4701"/>
    <w:rsid w:val="009027E2"/>
    <w:rsid w:val="00A356F5"/>
    <w:rsid w:val="00A35CA9"/>
    <w:rsid w:val="00AA079B"/>
    <w:rsid w:val="00AB16AB"/>
    <w:rsid w:val="00AC6AD6"/>
    <w:rsid w:val="00AF25B0"/>
    <w:rsid w:val="00B04B8A"/>
    <w:rsid w:val="00B777AA"/>
    <w:rsid w:val="00BC44E6"/>
    <w:rsid w:val="00BF603C"/>
    <w:rsid w:val="00C62B13"/>
    <w:rsid w:val="00C71FC1"/>
    <w:rsid w:val="00C8543F"/>
    <w:rsid w:val="00D7464D"/>
    <w:rsid w:val="00D75600"/>
    <w:rsid w:val="00E55ACC"/>
    <w:rsid w:val="00E80D5E"/>
    <w:rsid w:val="00E83561"/>
    <w:rsid w:val="00E941A3"/>
    <w:rsid w:val="00EA4FE4"/>
    <w:rsid w:val="00ED3AE8"/>
    <w:rsid w:val="00F55B72"/>
    <w:rsid w:val="00F711BA"/>
    <w:rsid w:val="00F979E6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48"/>
  </w:style>
  <w:style w:type="paragraph" w:styleId="Footer">
    <w:name w:val="footer"/>
    <w:basedOn w:val="Normal"/>
    <w:link w:val="FooterChar"/>
    <w:uiPriority w:val="99"/>
    <w:unhideWhenUsed/>
    <w:rsid w:val="0028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48"/>
  </w:style>
  <w:style w:type="character" w:styleId="CommentReference">
    <w:name w:val="annotation reference"/>
    <w:basedOn w:val="DefaultParagraphFont"/>
    <w:uiPriority w:val="99"/>
    <w:semiHidden/>
    <w:unhideWhenUsed/>
    <w:rsid w:val="002B1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48"/>
  </w:style>
  <w:style w:type="paragraph" w:styleId="Footer">
    <w:name w:val="footer"/>
    <w:basedOn w:val="Normal"/>
    <w:link w:val="FooterChar"/>
    <w:uiPriority w:val="99"/>
    <w:unhideWhenUsed/>
    <w:rsid w:val="0028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48"/>
  </w:style>
  <w:style w:type="character" w:styleId="CommentReference">
    <w:name w:val="annotation reference"/>
    <w:basedOn w:val="DefaultParagraphFont"/>
    <w:uiPriority w:val="99"/>
    <w:semiHidden/>
    <w:unhideWhenUsed/>
    <w:rsid w:val="002B1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lackwell\Documents\CARF\FINAL%20Outcomes.Demographics%20Report%202008%20to%20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Average Age at Admission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Sheet1!$B$61:$B$63</c:f>
              <c:strCache>
                <c:ptCount val="3"/>
                <c:pt idx="0">
                  <c:v>TBI</c:v>
                </c:pt>
                <c:pt idx="1">
                  <c:v>CVA</c:v>
                </c:pt>
                <c:pt idx="2">
                  <c:v>Other</c:v>
                </c:pt>
              </c:strCache>
            </c:strRef>
          </c:cat>
          <c:val>
            <c:numRef>
              <c:f>Sheet1!$C$61:$C$63</c:f>
              <c:numCache>
                <c:formatCode>0</c:formatCode>
                <c:ptCount val="3"/>
                <c:pt idx="0">
                  <c:v>38.694566813509539</c:v>
                </c:pt>
                <c:pt idx="1">
                  <c:v>53.024691358024711</c:v>
                </c:pt>
                <c:pt idx="2">
                  <c:v>47.129287598944586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6818304"/>
        <c:axId val="76819840"/>
      </c:barChart>
      <c:catAx>
        <c:axId val="76818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76819840"/>
        <c:crosses val="autoZero"/>
        <c:auto val="1"/>
        <c:lblAlgn val="ctr"/>
        <c:lblOffset val="100"/>
        <c:noMultiLvlLbl val="0"/>
      </c:catAx>
      <c:valAx>
        <c:axId val="76819840"/>
        <c:scaling>
          <c:orientation val="minMax"/>
        </c:scaling>
        <c:delete val="0"/>
        <c:axPos val="l"/>
        <c:majorGridlines/>
        <c:numFmt formatCode="#,##0" sourceLinked="0"/>
        <c:majorTickMark val="none"/>
        <c:minorTickMark val="none"/>
        <c:tickLblPos val="nextTo"/>
        <c:spPr>
          <a:ln w="9525">
            <a:noFill/>
          </a:ln>
        </c:spPr>
        <c:crossAx val="76818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Patient Demographics: Gender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Sheet1!$I$106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Sheet1!$J$105:$L$105</c:f>
              <c:strCache>
                <c:ptCount val="3"/>
                <c:pt idx="0">
                  <c:v>TBI</c:v>
                </c:pt>
                <c:pt idx="1">
                  <c:v>CVA</c:v>
                </c:pt>
                <c:pt idx="2">
                  <c:v>Other</c:v>
                </c:pt>
              </c:strCache>
            </c:strRef>
          </c:cat>
          <c:val>
            <c:numRef>
              <c:f>Sheet1!$J$106:$L$106</c:f>
              <c:numCache>
                <c:formatCode>0%</c:formatCode>
                <c:ptCount val="3"/>
                <c:pt idx="0">
                  <c:v>0.2261380323054332</c:v>
                </c:pt>
                <c:pt idx="1">
                  <c:v>0.38580246913580246</c:v>
                </c:pt>
                <c:pt idx="2">
                  <c:v>0.40633245382585753</c:v>
                </c:pt>
              </c:numCache>
            </c:numRef>
          </c:val>
        </c:ser>
        <c:ser>
          <c:idx val="1"/>
          <c:order val="1"/>
          <c:tx>
            <c:strRef>
              <c:f>Sheet1!$I$107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Sheet1!$J$105:$L$105</c:f>
              <c:strCache>
                <c:ptCount val="3"/>
                <c:pt idx="0">
                  <c:v>TBI</c:v>
                </c:pt>
                <c:pt idx="1">
                  <c:v>CVA</c:v>
                </c:pt>
                <c:pt idx="2">
                  <c:v>Other</c:v>
                </c:pt>
              </c:strCache>
            </c:strRef>
          </c:cat>
          <c:val>
            <c:numRef>
              <c:f>Sheet1!$J$107:$L$107</c:f>
              <c:numCache>
                <c:formatCode>0%</c:formatCode>
                <c:ptCount val="3"/>
                <c:pt idx="0">
                  <c:v>0.77386196769456683</c:v>
                </c:pt>
                <c:pt idx="1">
                  <c:v>0.61419753086419748</c:v>
                </c:pt>
                <c:pt idx="2">
                  <c:v>0.59366754617414252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86880"/>
        <c:axId val="115788416"/>
      </c:barChart>
      <c:catAx>
        <c:axId val="1157868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15788416"/>
        <c:crosses val="autoZero"/>
        <c:auto val="1"/>
        <c:lblAlgn val="ctr"/>
        <c:lblOffset val="100"/>
        <c:noMultiLvlLbl val="0"/>
      </c:catAx>
      <c:valAx>
        <c:axId val="11578841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1578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Patient Demographics: Race/Ethnicity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Demographics!$I$149</c:f>
              <c:strCache>
                <c:ptCount val="1"/>
                <c:pt idx="0">
                  <c:v>TBI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Demographics!$H$150:$H$153</c:f>
              <c:strCache>
                <c:ptCount val="4"/>
                <c:pt idx="0">
                  <c:v>African American</c:v>
                </c:pt>
                <c:pt idx="1">
                  <c:v>Hispanic</c:v>
                </c:pt>
                <c:pt idx="2">
                  <c:v>Caucasian</c:v>
                </c:pt>
                <c:pt idx="3">
                  <c:v>Other</c:v>
                </c:pt>
              </c:strCache>
            </c:strRef>
          </c:cat>
          <c:val>
            <c:numRef>
              <c:f>Demographics!$I$150:$I$153</c:f>
              <c:numCache>
                <c:formatCode>0%</c:formatCode>
                <c:ptCount val="4"/>
                <c:pt idx="0">
                  <c:v>8.0763582966226141E-2</c:v>
                </c:pt>
                <c:pt idx="1">
                  <c:v>0.1130690161527166</c:v>
                </c:pt>
                <c:pt idx="2">
                  <c:v>0.78414096916299558</c:v>
                </c:pt>
                <c:pt idx="3">
                  <c:v>2.2026431718061675E-2</c:v>
                </c:pt>
              </c:numCache>
            </c:numRef>
          </c:val>
        </c:ser>
        <c:ser>
          <c:idx val="1"/>
          <c:order val="1"/>
          <c:tx>
            <c:strRef>
              <c:f>Demographics!$J$149</c:f>
              <c:strCache>
                <c:ptCount val="1"/>
                <c:pt idx="0">
                  <c:v>CVA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Demographics!$H$150:$H$153</c:f>
              <c:strCache>
                <c:ptCount val="4"/>
                <c:pt idx="0">
                  <c:v>African American</c:v>
                </c:pt>
                <c:pt idx="1">
                  <c:v>Hispanic</c:v>
                </c:pt>
                <c:pt idx="2">
                  <c:v>Caucasian</c:v>
                </c:pt>
                <c:pt idx="3">
                  <c:v>Other</c:v>
                </c:pt>
              </c:strCache>
            </c:strRef>
          </c:cat>
          <c:val>
            <c:numRef>
              <c:f>Demographics!$J$150:$J$153</c:f>
              <c:numCache>
                <c:formatCode>0%</c:formatCode>
                <c:ptCount val="4"/>
                <c:pt idx="0">
                  <c:v>0.24537037037037038</c:v>
                </c:pt>
                <c:pt idx="1">
                  <c:v>8.6419753086419748E-2</c:v>
                </c:pt>
                <c:pt idx="2">
                  <c:v>0.63734567901234573</c:v>
                </c:pt>
                <c:pt idx="3">
                  <c:v>3.0864197530864196E-2</c:v>
                </c:pt>
              </c:numCache>
            </c:numRef>
          </c:val>
        </c:ser>
        <c:ser>
          <c:idx val="2"/>
          <c:order val="2"/>
          <c:tx>
            <c:strRef>
              <c:f>Demographics!$K$149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Demographics!$H$150:$H$153</c:f>
              <c:strCache>
                <c:ptCount val="4"/>
                <c:pt idx="0">
                  <c:v>African American</c:v>
                </c:pt>
                <c:pt idx="1">
                  <c:v>Hispanic</c:v>
                </c:pt>
                <c:pt idx="2">
                  <c:v>Caucasian</c:v>
                </c:pt>
                <c:pt idx="3">
                  <c:v>Other</c:v>
                </c:pt>
              </c:strCache>
            </c:strRef>
          </c:cat>
          <c:val>
            <c:numRef>
              <c:f>Demographics!$K$150:$K$153</c:f>
              <c:numCache>
                <c:formatCode>0%</c:formatCode>
                <c:ptCount val="4"/>
                <c:pt idx="0">
                  <c:v>0.14775725593667546</c:v>
                </c:pt>
                <c:pt idx="1">
                  <c:v>6.5963060686015831E-2</c:v>
                </c:pt>
                <c:pt idx="2">
                  <c:v>0.75725593667546176</c:v>
                </c:pt>
                <c:pt idx="3">
                  <c:v>2.9023746701846966E-2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8232192"/>
        <c:axId val="118233728"/>
      </c:barChart>
      <c:catAx>
        <c:axId val="1182321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8233728"/>
        <c:crosses val="autoZero"/>
        <c:auto val="1"/>
        <c:lblAlgn val="ctr"/>
        <c:lblOffset val="100"/>
        <c:noMultiLvlLbl val="0"/>
      </c:catAx>
      <c:valAx>
        <c:axId val="118233728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8232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E213-B0A9-4B50-84D9-58371214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MBlackwell</dc:creator>
  <cp:lastModifiedBy>JHollahan-Sawyer</cp:lastModifiedBy>
  <cp:revision>2</cp:revision>
  <cp:lastPrinted>2013-03-06T21:29:00Z</cp:lastPrinted>
  <dcterms:created xsi:type="dcterms:W3CDTF">2013-03-27T16:25:00Z</dcterms:created>
  <dcterms:modified xsi:type="dcterms:W3CDTF">2013-03-27T16:25:00Z</dcterms:modified>
</cp:coreProperties>
</file>